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C0E" w:rsidRPr="005F06FE" w:rsidRDefault="00545005" w:rsidP="005F06FE">
      <w:pPr>
        <w:spacing w:line="480" w:lineRule="auto"/>
        <w:jc w:val="center"/>
        <w:rPr>
          <w:rFonts w:ascii="Times New Roman" w:hAnsi="Times New Roman" w:cs="Times New Roman"/>
          <w:sz w:val="24"/>
          <w:szCs w:val="24"/>
        </w:rPr>
      </w:pPr>
      <w:bookmarkStart w:id="0" w:name="_Hlk500869474"/>
    </w:p>
    <w:p w:rsidR="003C4C0E" w:rsidRPr="004F228E" w:rsidRDefault="00545005" w:rsidP="005F06FE">
      <w:pPr>
        <w:spacing w:line="480" w:lineRule="auto"/>
        <w:jc w:val="center"/>
        <w:rPr>
          <w:rFonts w:ascii="Times New Roman" w:hAnsi="Times New Roman" w:cs="Times New Roman"/>
          <w:sz w:val="24"/>
          <w:szCs w:val="24"/>
        </w:rPr>
      </w:pPr>
    </w:p>
    <w:p w:rsidR="003C4C0E" w:rsidRPr="004F228E" w:rsidRDefault="00545005" w:rsidP="005F06FE">
      <w:pPr>
        <w:spacing w:line="480" w:lineRule="auto"/>
        <w:jc w:val="center"/>
        <w:rPr>
          <w:rFonts w:ascii="Times New Roman" w:hAnsi="Times New Roman" w:cs="Times New Roman"/>
          <w:sz w:val="24"/>
          <w:szCs w:val="24"/>
        </w:rPr>
      </w:pPr>
    </w:p>
    <w:p w:rsidR="003C4C0E" w:rsidRPr="004F228E" w:rsidRDefault="00545005" w:rsidP="005F06FE">
      <w:pPr>
        <w:spacing w:line="480" w:lineRule="auto"/>
        <w:jc w:val="center"/>
        <w:rPr>
          <w:rFonts w:ascii="Times New Roman" w:hAnsi="Times New Roman" w:cs="Times New Roman"/>
          <w:sz w:val="24"/>
          <w:szCs w:val="24"/>
        </w:rPr>
      </w:pPr>
    </w:p>
    <w:p w:rsidR="003C4C0E" w:rsidRPr="004F228E" w:rsidRDefault="00545005" w:rsidP="005F06FE">
      <w:pPr>
        <w:spacing w:line="480" w:lineRule="auto"/>
        <w:jc w:val="center"/>
        <w:rPr>
          <w:rFonts w:ascii="Times New Roman" w:hAnsi="Times New Roman" w:cs="Times New Roman"/>
          <w:sz w:val="24"/>
          <w:szCs w:val="24"/>
        </w:rPr>
      </w:pPr>
    </w:p>
    <w:p w:rsidR="003C4C0E" w:rsidRPr="004F228E" w:rsidRDefault="00545005" w:rsidP="005F06FE">
      <w:pPr>
        <w:spacing w:line="480" w:lineRule="auto"/>
        <w:jc w:val="center"/>
        <w:rPr>
          <w:rFonts w:ascii="Times New Roman" w:hAnsi="Times New Roman" w:cs="Times New Roman"/>
          <w:sz w:val="24"/>
          <w:szCs w:val="24"/>
        </w:rPr>
      </w:pPr>
    </w:p>
    <w:p w:rsidR="003C4C0E" w:rsidRPr="004F228E" w:rsidRDefault="00545005" w:rsidP="005F06FE">
      <w:pPr>
        <w:spacing w:line="480" w:lineRule="auto"/>
        <w:jc w:val="center"/>
        <w:rPr>
          <w:rFonts w:ascii="Times New Roman" w:hAnsi="Times New Roman" w:cs="Times New Roman"/>
          <w:sz w:val="24"/>
          <w:szCs w:val="24"/>
        </w:rPr>
      </w:pPr>
    </w:p>
    <w:p w:rsidR="00EF721A" w:rsidRPr="004F228E" w:rsidRDefault="00545005" w:rsidP="005F06FE">
      <w:pPr>
        <w:spacing w:line="480" w:lineRule="auto"/>
        <w:jc w:val="center"/>
        <w:rPr>
          <w:rFonts w:ascii="Times New Roman" w:hAnsi="Times New Roman" w:cs="Times New Roman"/>
          <w:sz w:val="24"/>
          <w:szCs w:val="24"/>
        </w:rPr>
      </w:pPr>
    </w:p>
    <w:p w:rsidR="00EF721A" w:rsidRPr="004F228E" w:rsidRDefault="00545005" w:rsidP="005F06FE">
      <w:pPr>
        <w:spacing w:line="480" w:lineRule="auto"/>
        <w:jc w:val="center"/>
        <w:rPr>
          <w:rFonts w:ascii="Times New Roman" w:hAnsi="Times New Roman" w:cs="Times New Roman"/>
          <w:sz w:val="24"/>
          <w:szCs w:val="24"/>
        </w:rPr>
      </w:pPr>
    </w:p>
    <w:p w:rsidR="00374A01" w:rsidRPr="004F228E" w:rsidRDefault="00910788" w:rsidP="005F06FE">
      <w:pPr>
        <w:spacing w:line="480" w:lineRule="auto"/>
        <w:jc w:val="center"/>
        <w:rPr>
          <w:rFonts w:ascii="Times New Roman" w:hAnsi="Times New Roman" w:cs="Times New Roman"/>
          <w:sz w:val="24"/>
          <w:szCs w:val="24"/>
        </w:rPr>
      </w:pPr>
      <w:r w:rsidRPr="004F228E">
        <w:rPr>
          <w:rFonts w:ascii="Times New Roman" w:hAnsi="Times New Roman" w:cs="Times New Roman"/>
          <w:sz w:val="24"/>
          <w:szCs w:val="24"/>
        </w:rPr>
        <w:t>Information Sharing</w:t>
      </w:r>
    </w:p>
    <w:p w:rsidR="003C4C0E" w:rsidRPr="004F228E" w:rsidRDefault="009B6402" w:rsidP="005F06FE">
      <w:pPr>
        <w:spacing w:line="480" w:lineRule="auto"/>
        <w:jc w:val="center"/>
        <w:rPr>
          <w:rFonts w:ascii="Times New Roman" w:hAnsi="Times New Roman" w:cs="Times New Roman"/>
          <w:sz w:val="24"/>
          <w:szCs w:val="24"/>
        </w:rPr>
      </w:pPr>
      <w:r w:rsidRPr="004F228E">
        <w:rPr>
          <w:rFonts w:ascii="Times New Roman" w:hAnsi="Times New Roman" w:cs="Times New Roman"/>
          <w:sz w:val="24"/>
          <w:szCs w:val="24"/>
        </w:rPr>
        <w:t>Course</w:t>
      </w:r>
    </w:p>
    <w:p w:rsidR="003C4C0E" w:rsidRPr="004F228E" w:rsidRDefault="009B6402" w:rsidP="005F06FE">
      <w:pPr>
        <w:spacing w:line="480" w:lineRule="auto"/>
        <w:jc w:val="center"/>
        <w:rPr>
          <w:rFonts w:ascii="Times New Roman" w:hAnsi="Times New Roman" w:cs="Times New Roman"/>
          <w:sz w:val="24"/>
          <w:szCs w:val="24"/>
        </w:rPr>
      </w:pPr>
      <w:r w:rsidRPr="004F228E">
        <w:rPr>
          <w:rFonts w:ascii="Times New Roman" w:hAnsi="Times New Roman" w:cs="Times New Roman"/>
          <w:sz w:val="24"/>
          <w:szCs w:val="24"/>
        </w:rPr>
        <w:t>Institution affiliation</w:t>
      </w:r>
    </w:p>
    <w:p w:rsidR="003C4C0E" w:rsidRPr="004F228E" w:rsidRDefault="00545005" w:rsidP="005F06FE">
      <w:pPr>
        <w:spacing w:line="480" w:lineRule="auto"/>
        <w:rPr>
          <w:rFonts w:ascii="Times New Roman" w:hAnsi="Times New Roman" w:cs="Times New Roman"/>
          <w:sz w:val="24"/>
          <w:szCs w:val="24"/>
        </w:rPr>
      </w:pPr>
    </w:p>
    <w:p w:rsidR="003C4C0E" w:rsidRPr="004F228E" w:rsidRDefault="00545005" w:rsidP="005F06FE">
      <w:pPr>
        <w:spacing w:line="480" w:lineRule="auto"/>
        <w:rPr>
          <w:rFonts w:ascii="Times New Roman" w:hAnsi="Times New Roman" w:cs="Times New Roman"/>
          <w:sz w:val="24"/>
          <w:szCs w:val="24"/>
        </w:rPr>
      </w:pPr>
    </w:p>
    <w:p w:rsidR="003C4C0E" w:rsidRPr="004F228E" w:rsidRDefault="00545005" w:rsidP="005F06FE">
      <w:pPr>
        <w:spacing w:line="480" w:lineRule="auto"/>
        <w:rPr>
          <w:rFonts w:ascii="Times New Roman" w:hAnsi="Times New Roman" w:cs="Times New Roman"/>
          <w:sz w:val="24"/>
          <w:szCs w:val="24"/>
        </w:rPr>
      </w:pPr>
    </w:p>
    <w:p w:rsidR="003C4C0E" w:rsidRPr="004F228E" w:rsidRDefault="00545005" w:rsidP="005F06FE">
      <w:pPr>
        <w:spacing w:line="480" w:lineRule="auto"/>
        <w:rPr>
          <w:rFonts w:ascii="Times New Roman" w:hAnsi="Times New Roman" w:cs="Times New Roman"/>
          <w:sz w:val="24"/>
          <w:szCs w:val="24"/>
        </w:rPr>
      </w:pPr>
    </w:p>
    <w:p w:rsidR="003E2E70" w:rsidRPr="004F228E" w:rsidRDefault="00545005" w:rsidP="005F06FE">
      <w:pPr>
        <w:spacing w:line="480" w:lineRule="auto"/>
        <w:rPr>
          <w:rFonts w:ascii="Times New Roman" w:hAnsi="Times New Roman" w:cs="Times New Roman"/>
          <w:sz w:val="24"/>
          <w:szCs w:val="24"/>
        </w:rPr>
      </w:pPr>
    </w:p>
    <w:p w:rsidR="003C4C0E" w:rsidRPr="004F228E" w:rsidRDefault="00545005" w:rsidP="005F06FE">
      <w:pPr>
        <w:spacing w:line="480" w:lineRule="auto"/>
        <w:rPr>
          <w:rFonts w:ascii="Times New Roman" w:hAnsi="Times New Roman" w:cs="Times New Roman"/>
          <w:sz w:val="24"/>
          <w:szCs w:val="24"/>
        </w:rPr>
      </w:pPr>
    </w:p>
    <w:p w:rsidR="00EF721A" w:rsidRPr="005F06FE" w:rsidRDefault="009B6402" w:rsidP="005F06FE">
      <w:pPr>
        <w:tabs>
          <w:tab w:val="left" w:pos="8160"/>
        </w:tabs>
        <w:spacing w:line="480" w:lineRule="auto"/>
        <w:jc w:val="center"/>
        <w:rPr>
          <w:rFonts w:ascii="Times New Roman" w:hAnsi="Times New Roman" w:cs="Times New Roman"/>
          <w:b/>
          <w:sz w:val="24"/>
          <w:szCs w:val="24"/>
        </w:rPr>
      </w:pPr>
      <w:r w:rsidRPr="005F06FE">
        <w:rPr>
          <w:rFonts w:ascii="Times New Roman" w:hAnsi="Times New Roman" w:cs="Times New Roman"/>
          <w:b/>
          <w:sz w:val="24"/>
          <w:szCs w:val="24"/>
        </w:rPr>
        <w:lastRenderedPageBreak/>
        <w:t>Introduction</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The world has dramatically changed over the years. Among the most highlighted changes evident has been in the technology field. Through technology, the internet has been introduced which provides a platform where people interact around the globe. The internet has allowed people and institutions not only interact but also communicate and share information widely. Among the things that have come with information sharing through the internet is the information surrendering whereby people are willing to exchange information with less understanding of the conditions and circumstances involved. It is due to lack of time, attention and information overload; as a result, use of icons could alert the users to the risk of the information required (Walker, 2016). Currently, through the data shared to the internet, one can access all the necessary data of someone’s that he or she needs. It is made possible because of the interconnections of different sites that require various data uploads from several users (Staff, 2017). In this paper, prospect theory has been used to elaborate and illustrate this type of situation. The four quadrants of SSIM have been developed to explain conditions under which individuals share information. Different icons have been suggested to each one of the quadrants with an explanation of their purpose and the reasons for using them.</w:t>
      </w:r>
    </w:p>
    <w:p w:rsidR="005F06FE" w:rsidRPr="005F06FE" w:rsidRDefault="005F06FE" w:rsidP="005F06FE">
      <w:pPr>
        <w:spacing w:line="480" w:lineRule="auto"/>
        <w:jc w:val="center"/>
        <w:rPr>
          <w:rFonts w:ascii="Times New Roman" w:hAnsi="Times New Roman" w:cs="Times New Roman"/>
          <w:b/>
          <w:sz w:val="24"/>
          <w:szCs w:val="24"/>
        </w:rPr>
      </w:pPr>
      <w:r w:rsidRPr="005F06FE">
        <w:rPr>
          <w:rFonts w:ascii="Times New Roman" w:hAnsi="Times New Roman" w:cs="Times New Roman"/>
          <w:b/>
          <w:sz w:val="24"/>
          <w:szCs w:val="24"/>
        </w:rPr>
        <w:t>SSIM Portrayal Analysis</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 xml:space="preserve">In the SSIM portrayal analysis done in this paper, a range of four quadrants has been examined. They include the conditional share, unconditional share, conditional surrender, and unconditional surrender. These quadrants revolve around the faith that one has for information exchange, and the trust one has during information exchange (Walker, 2016). It is because people may either be in consent or fail to be in consent while sharing their information over the internet. Those in </w:t>
      </w:r>
      <w:r w:rsidRPr="005F06FE">
        <w:rPr>
          <w:rFonts w:ascii="Times New Roman" w:hAnsi="Times New Roman" w:cs="Times New Roman"/>
          <w:sz w:val="24"/>
          <w:szCs w:val="24"/>
        </w:rPr>
        <w:lastRenderedPageBreak/>
        <w:t xml:space="preserve">consent sometimes ignore the extent to which their information could be shared. Such situation can be explained by the prospect theory where the individuals value the risk and the advantages involved differently and therefore make decisions on perceived gains rather than the associated risk (Kahneman &amp; Tversky, 2013). For example, when people are installing a new application on their handsets, few read the terms and conditions applied but rather view at the needs for the use. </w:t>
      </w:r>
    </w:p>
    <w:p w:rsidR="005F06FE" w:rsidRPr="005F06FE" w:rsidRDefault="005F06FE" w:rsidP="005F06FE">
      <w:pPr>
        <w:spacing w:line="480" w:lineRule="auto"/>
        <w:jc w:val="center"/>
        <w:rPr>
          <w:rFonts w:ascii="Times New Roman" w:hAnsi="Times New Roman" w:cs="Times New Roman"/>
          <w:b/>
          <w:sz w:val="24"/>
          <w:szCs w:val="24"/>
        </w:rPr>
      </w:pPr>
      <w:r w:rsidRPr="005F06FE">
        <w:rPr>
          <w:rFonts w:ascii="Times New Roman" w:hAnsi="Times New Roman" w:cs="Times New Roman"/>
          <w:b/>
          <w:sz w:val="24"/>
          <w:szCs w:val="24"/>
        </w:rPr>
        <w:t xml:space="preserve">The Four-Quadrant </w:t>
      </w:r>
      <w:r>
        <w:rPr>
          <w:rFonts w:ascii="Times New Roman" w:hAnsi="Times New Roman" w:cs="Times New Roman"/>
          <w:b/>
          <w:sz w:val="24"/>
          <w:szCs w:val="24"/>
        </w:rPr>
        <w:t>a</w:t>
      </w:r>
      <w:r w:rsidRPr="005F06FE">
        <w:rPr>
          <w:rFonts w:ascii="Times New Roman" w:hAnsi="Times New Roman" w:cs="Times New Roman"/>
          <w:b/>
          <w:sz w:val="24"/>
          <w:szCs w:val="24"/>
        </w:rPr>
        <w:t xml:space="preserve">nd The Icon </w:t>
      </w:r>
      <w:r>
        <w:rPr>
          <w:rFonts w:ascii="Times New Roman" w:hAnsi="Times New Roman" w:cs="Times New Roman"/>
          <w:b/>
          <w:sz w:val="24"/>
          <w:szCs w:val="24"/>
        </w:rPr>
        <w:t>t</w:t>
      </w:r>
      <w:r w:rsidRPr="005F06FE">
        <w:rPr>
          <w:rFonts w:ascii="Times New Roman" w:hAnsi="Times New Roman" w:cs="Times New Roman"/>
          <w:b/>
          <w:sz w:val="24"/>
          <w:szCs w:val="24"/>
        </w:rPr>
        <w:t xml:space="preserve">o Be Used </w:t>
      </w:r>
      <w:r>
        <w:rPr>
          <w:rFonts w:ascii="Times New Roman" w:hAnsi="Times New Roman" w:cs="Times New Roman"/>
          <w:b/>
          <w:sz w:val="24"/>
          <w:szCs w:val="24"/>
        </w:rPr>
        <w:t>i</w:t>
      </w:r>
      <w:r w:rsidRPr="005F06FE">
        <w:rPr>
          <w:rFonts w:ascii="Times New Roman" w:hAnsi="Times New Roman" w:cs="Times New Roman"/>
          <w:b/>
          <w:sz w:val="24"/>
          <w:szCs w:val="24"/>
        </w:rPr>
        <w:t>n Each</w:t>
      </w:r>
    </w:p>
    <w:p w:rsidR="005F06FE" w:rsidRPr="005F06FE" w:rsidRDefault="005F06FE" w:rsidP="005F06FE">
      <w:pPr>
        <w:spacing w:line="480" w:lineRule="auto"/>
        <w:jc w:val="center"/>
        <w:rPr>
          <w:rFonts w:ascii="Times New Roman" w:hAnsi="Times New Roman" w:cs="Times New Roman"/>
          <w:sz w:val="24"/>
          <w:szCs w:val="24"/>
        </w:rPr>
      </w:pPr>
      <w:r w:rsidRPr="005F06FE">
        <w:rPr>
          <w:rFonts w:ascii="Times New Roman" w:hAnsi="Times New Roman" w:cs="Times New Roman"/>
          <w:sz w:val="24"/>
          <w:szCs w:val="24"/>
        </w:rPr>
        <w:t>Conditional Sharing</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 xml:space="preserve">Occurs when users share information with others on the internet willingly but places conditions over the information shared. Although this quadrant shows to be the most confident, complete certainty is impossible to achieve. </w:t>
      </w:r>
      <w:r w:rsidR="00716483" w:rsidRPr="004F228E">
        <w:rPr>
          <w:rFonts w:ascii="Times New Roman" w:eastAsia="Times New Roman" w:hAnsi="Times New Roman" w:cs="Times New Roman"/>
          <w:noProof/>
          <w:sz w:val="24"/>
          <w:szCs w:val="24"/>
        </w:rPr>
        <w:drawing>
          <wp:anchor distT="0" distB="0" distL="114300" distR="114300" simplePos="0" relativeHeight="251669504" behindDoc="0" locked="0" layoutInCell="1" allowOverlap="1" wp14:anchorId="3C4C7F42" wp14:editId="5DBAD546">
            <wp:simplePos x="0" y="0"/>
            <wp:positionH relativeFrom="margin">
              <wp:posOffset>0</wp:posOffset>
            </wp:positionH>
            <wp:positionV relativeFrom="paragraph">
              <wp:posOffset>1052195</wp:posOffset>
            </wp:positionV>
            <wp:extent cx="2562225" cy="1543050"/>
            <wp:effectExtent l="0" t="0" r="9525" b="0"/>
            <wp:wrapTight wrapText="bothSides">
              <wp:wrapPolygon edited="0">
                <wp:start x="0" y="0"/>
                <wp:lineTo x="0" y="21333"/>
                <wp:lineTo x="21520" y="21333"/>
                <wp:lineTo x="21520" y="0"/>
                <wp:lineTo x="0" y="0"/>
              </wp:wrapPolygon>
            </wp:wrapTight>
            <wp:docPr id="1" name="Picture 1" descr="https://lh6.googleusercontent.com/8uKacKdz1pv6caxLhI9id7lcYbPyRrJfxlfY3tGu32WhOX2WyCSr3i5DSUKuS0TYgMIncbZ0yqg6eqmo1CXtBKBZNo2PjjRonqjEUF3K3FmK9rVo3aaNJJ7FRoKrZGPD80AdFtny4Q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4594" name="Picture 1" descr="https://lh6.googleusercontent.com/8uKacKdz1pv6caxLhI9id7lcYbPyRrJfxlfY3tGu32WhOX2WyCSr3i5DSUKuS0TYgMIncbZ0yqg6eqmo1CXtBKBZNo2PjjRonqjEUF3K3FmK9rVo3aaNJJ7FRoKrZGPD80AdFtny4Q0"/>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56222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06FE">
        <w:rPr>
          <w:rFonts w:ascii="Times New Roman" w:hAnsi="Times New Roman" w:cs="Times New Roman"/>
          <w:sz w:val="24"/>
          <w:szCs w:val="24"/>
        </w:rPr>
        <w:t xml:space="preserve">In this stage of surrendering the information, the user can put restriction to the information shared and trust the host site will uphold the privacy as the user has set. Besides, the customer can try and verify the eligibility of the security settings and prove that they are working. I choose to use an icon of a baby with a semi thumbs-up gesture in this quadrant because this stage involves a mutually beneficial exchange; this means one transfers the information knowingly and is in a position of putting protection over it. On sharing the information, one restricts on who to see the data and can hence prevent a specific group of people or strangers from getting the information shared. This type and level of information surrendering happen mostly on social media. Currently, almost all the social media platforms provide their customers with an option for privacy setting. In this </w:t>
      </w:r>
      <w:r w:rsidRPr="005F06FE">
        <w:rPr>
          <w:rFonts w:ascii="Times New Roman" w:hAnsi="Times New Roman" w:cs="Times New Roman"/>
          <w:sz w:val="24"/>
          <w:szCs w:val="24"/>
        </w:rPr>
        <w:lastRenderedPageBreak/>
        <w:t>opportunity, the user can set privacy either to his/her profile or even on the post and status updates. Example of such platforms includes the twitter, Facebook and WhatsApp massager.</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 xml:space="preserve">Through the use of this icons, when the users see such kind of an icon pop after sharing information, they will be satisfied that their data is to some level safe from intruders. Since the icon is a smiling baby face, it will make them feel proud of the step taken before information sharing.  </w:t>
      </w:r>
    </w:p>
    <w:p w:rsidR="005F06FE" w:rsidRPr="005F06FE" w:rsidRDefault="005F06FE" w:rsidP="005F06FE">
      <w:pPr>
        <w:spacing w:line="480" w:lineRule="auto"/>
        <w:jc w:val="center"/>
        <w:rPr>
          <w:rFonts w:ascii="Times New Roman" w:hAnsi="Times New Roman" w:cs="Times New Roman"/>
          <w:sz w:val="24"/>
          <w:szCs w:val="24"/>
        </w:rPr>
      </w:pPr>
      <w:r w:rsidRPr="005F06FE">
        <w:rPr>
          <w:rFonts w:ascii="Times New Roman" w:hAnsi="Times New Roman" w:cs="Times New Roman"/>
          <w:sz w:val="24"/>
          <w:szCs w:val="24"/>
        </w:rPr>
        <w:t>Unconditional Sharing</w:t>
      </w:r>
    </w:p>
    <w:p w:rsidR="005F06FE" w:rsidRPr="005F06FE" w:rsidRDefault="00716483" w:rsidP="005F06FE">
      <w:pPr>
        <w:spacing w:line="480" w:lineRule="auto"/>
        <w:rPr>
          <w:rFonts w:ascii="Times New Roman" w:hAnsi="Times New Roman" w:cs="Times New Roman"/>
          <w:sz w:val="24"/>
          <w:szCs w:val="24"/>
        </w:rPr>
      </w:pPr>
      <w:r w:rsidRPr="004F228E">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1015691B" wp14:editId="206DF957">
            <wp:simplePos x="0" y="0"/>
            <wp:positionH relativeFrom="margin">
              <wp:posOffset>0</wp:posOffset>
            </wp:positionH>
            <wp:positionV relativeFrom="paragraph">
              <wp:posOffset>351155</wp:posOffset>
            </wp:positionV>
            <wp:extent cx="2590800" cy="1647825"/>
            <wp:effectExtent l="0" t="0" r="0" b="9525"/>
            <wp:wrapTight wrapText="bothSides">
              <wp:wrapPolygon edited="0">
                <wp:start x="0" y="0"/>
                <wp:lineTo x="0" y="21475"/>
                <wp:lineTo x="21441" y="21475"/>
                <wp:lineTo x="21441" y="0"/>
                <wp:lineTo x="0" y="0"/>
              </wp:wrapPolygon>
            </wp:wrapTight>
            <wp:docPr id="5" name="Picture 5" descr="mage result for mad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5211" name="Picture 5" descr="mage result for mad bab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9080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F06FE" w:rsidRPr="005F06FE">
        <w:rPr>
          <w:rFonts w:ascii="Times New Roman" w:hAnsi="Times New Roman" w:cs="Times New Roman"/>
          <w:sz w:val="24"/>
          <w:szCs w:val="24"/>
        </w:rPr>
        <w:t>It is the concept of information surrendering where parties exchange their information exhibiting trust and in passive of their privacy protection. In such a case someone is willing to share information with the other but with little or no idea of the privacy protection policy as a result of trust to the other party. (Walker, 2016). A good example is when someone is hired for the first time in a company; many people rush into filling the contract forms without even having a glance at the terms and conditions involved. I chose this mad baby face to pop up when people surrender their information unconditional to act as a warning that it is not a good idea. It is because, in unrestricted sharing of information, people are not aware of what the other party may do with the information they have shared with them. This icon will make the users feel that they have done an incorrect thing without even taking most of their time since it can be noticed from a glance due to the unpleasant face of the baby.</w:t>
      </w:r>
    </w:p>
    <w:p w:rsidR="00716483" w:rsidRDefault="00716483" w:rsidP="005F06FE">
      <w:pPr>
        <w:spacing w:line="480" w:lineRule="auto"/>
        <w:jc w:val="center"/>
        <w:rPr>
          <w:rFonts w:ascii="Times New Roman" w:hAnsi="Times New Roman" w:cs="Times New Roman"/>
          <w:sz w:val="24"/>
          <w:szCs w:val="24"/>
        </w:rPr>
      </w:pPr>
    </w:p>
    <w:p w:rsidR="00716483" w:rsidRDefault="00716483" w:rsidP="005F06FE">
      <w:pPr>
        <w:spacing w:line="480" w:lineRule="auto"/>
        <w:jc w:val="center"/>
        <w:rPr>
          <w:rFonts w:ascii="Times New Roman" w:hAnsi="Times New Roman" w:cs="Times New Roman"/>
          <w:sz w:val="24"/>
          <w:szCs w:val="24"/>
        </w:rPr>
      </w:pPr>
    </w:p>
    <w:p w:rsidR="005F06FE" w:rsidRPr="005F06FE" w:rsidRDefault="005F06FE" w:rsidP="005F06FE">
      <w:pPr>
        <w:spacing w:line="480" w:lineRule="auto"/>
        <w:jc w:val="center"/>
        <w:rPr>
          <w:rFonts w:ascii="Times New Roman" w:hAnsi="Times New Roman" w:cs="Times New Roman"/>
          <w:sz w:val="24"/>
          <w:szCs w:val="24"/>
        </w:rPr>
      </w:pPr>
      <w:r w:rsidRPr="005F06FE">
        <w:rPr>
          <w:rFonts w:ascii="Times New Roman" w:hAnsi="Times New Roman" w:cs="Times New Roman"/>
          <w:sz w:val="24"/>
          <w:szCs w:val="24"/>
        </w:rPr>
        <w:lastRenderedPageBreak/>
        <w:t>Conditional Surrender</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 xml:space="preserve">It is a concept of information surrendering which involves people exchanging data over the internet but trust one another in active privacy protections such as giving out conditions over the information sharing. In this case, they actively allow others to access their information. (Walker, 2016). </w:t>
      </w:r>
      <w:r w:rsidR="00716483" w:rsidRPr="004F228E">
        <w:rPr>
          <w:rFonts w:ascii="Times New Roman" w:eastAsia="Times New Roman" w:hAnsi="Times New Roman" w:cs="Times New Roman"/>
          <w:noProof/>
          <w:sz w:val="24"/>
          <w:szCs w:val="24"/>
        </w:rPr>
        <w:drawing>
          <wp:anchor distT="0" distB="0" distL="114300" distR="114300" simplePos="0" relativeHeight="251663360" behindDoc="0" locked="0" layoutInCell="1" allowOverlap="1" wp14:anchorId="059AC202" wp14:editId="1D1173FC">
            <wp:simplePos x="0" y="0"/>
            <wp:positionH relativeFrom="margin">
              <wp:posOffset>0</wp:posOffset>
            </wp:positionH>
            <wp:positionV relativeFrom="paragraph">
              <wp:posOffset>1402715</wp:posOffset>
            </wp:positionV>
            <wp:extent cx="2495550" cy="1647825"/>
            <wp:effectExtent l="0" t="0" r="0" b="9525"/>
            <wp:wrapTight wrapText="bothSides">
              <wp:wrapPolygon edited="0">
                <wp:start x="0" y="0"/>
                <wp:lineTo x="0" y="21475"/>
                <wp:lineTo x="21435" y="21475"/>
                <wp:lineTo x="21435" y="0"/>
                <wp:lineTo x="0" y="0"/>
              </wp:wrapPolygon>
            </wp:wrapTight>
            <wp:docPr id="3" name="Picture 3" descr="https://lh6.googleusercontent.com/8dgReZ7C4IGH2cANeqRiH3MGtQ_djIJrNq-yqujd1I77EqgciaBc_xygNWSeMtuO6QrYIMyt_f2Wlmd9Gw92wJARNl2yEO3KN9ZUwjCp3GeAWhSkKnB2Scwv8pCZzEC58d1Ushn-5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06783" name="Picture 3" descr="https://lh6.googleusercontent.com/8dgReZ7C4IGH2cANeqRiH3MGtQ_djIJrNq-yqujd1I77EqgciaBc_xygNWSeMtuO6QrYIMyt_f2Wlmd9Gw92wJARNl2yEO3KN9ZUwjCp3GeAWhSkKnB2Scwv8pCZzEC58d1Ushn-5n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9555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06FE">
        <w:rPr>
          <w:rFonts w:ascii="Times New Roman" w:hAnsi="Times New Roman" w:cs="Times New Roman"/>
          <w:sz w:val="24"/>
          <w:szCs w:val="24"/>
        </w:rPr>
        <w:t xml:space="preserve">Conditional surrender involves putting trust on a person concerning your information shared. Since most people are untrustworthy, this information in some cases goes on to be shared with their people not intended. It has happened severally especially in campuses where a student takes nude photos just for fun and although they lay trust on one another that the kinds of stuff only remain to be </w:t>
      </w:r>
      <w:bookmarkStart w:id="1" w:name="_GoBack"/>
      <w:bookmarkEnd w:id="1"/>
      <w:r w:rsidRPr="005F06FE">
        <w:rPr>
          <w:rFonts w:ascii="Times New Roman" w:hAnsi="Times New Roman" w:cs="Times New Roman"/>
          <w:sz w:val="24"/>
          <w:szCs w:val="24"/>
        </w:rPr>
        <w:t xml:space="preserve">known among them, the next day they find those photos circulating in all social media. Some have had to commit suicide as a result of stigma while others drop out of school due to such cases. To illustrate this concept, I decided to use an icon of a baby that trusted itself that it would be okay eating pasta all by itself but proven wrong and ended up in a mess. This icon seems related to the concept since in this concept people trust others and put their faith in them while sharing their information only to end up in betrayal and their information widely circulated. </w:t>
      </w:r>
    </w:p>
    <w:p w:rsidR="005F06FE" w:rsidRPr="005F06FE" w:rsidRDefault="005F06FE" w:rsidP="005F06FE">
      <w:pPr>
        <w:spacing w:line="480" w:lineRule="auto"/>
        <w:jc w:val="center"/>
        <w:rPr>
          <w:rFonts w:ascii="Times New Roman" w:hAnsi="Times New Roman" w:cs="Times New Roman"/>
          <w:sz w:val="24"/>
          <w:szCs w:val="24"/>
        </w:rPr>
      </w:pPr>
      <w:r w:rsidRPr="005F06FE">
        <w:rPr>
          <w:rFonts w:ascii="Times New Roman" w:hAnsi="Times New Roman" w:cs="Times New Roman"/>
          <w:sz w:val="24"/>
          <w:szCs w:val="24"/>
        </w:rPr>
        <w:t>Unconditional Surrender</w:t>
      </w:r>
    </w:p>
    <w:p w:rsidR="005F06FE" w:rsidRPr="005F06F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 xml:space="preserve">It happens where both parties involved in information exchange have trust for one another and are in passive in their protection privacy (Walker, 2016). </w:t>
      </w:r>
      <w:r w:rsidR="00716483" w:rsidRPr="004F228E">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14:anchorId="261B3DCA" wp14:editId="7E1E2B99">
            <wp:simplePos x="0" y="0"/>
            <wp:positionH relativeFrom="margin">
              <wp:posOffset>0</wp:posOffset>
            </wp:positionH>
            <wp:positionV relativeFrom="paragraph">
              <wp:posOffset>18415</wp:posOffset>
            </wp:positionV>
            <wp:extent cx="2133600" cy="1428750"/>
            <wp:effectExtent l="0" t="0" r="0" b="0"/>
            <wp:wrapTight wrapText="bothSides">
              <wp:wrapPolygon edited="0">
                <wp:start x="0" y="0"/>
                <wp:lineTo x="0" y="21312"/>
                <wp:lineTo x="21407" y="21312"/>
                <wp:lineTo x="21407" y="0"/>
                <wp:lineTo x="0" y="0"/>
              </wp:wrapPolygon>
            </wp:wrapTight>
            <wp:docPr id="2" name="Picture 2" descr="mage result for baby cr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4165" name="Picture 7" descr="mage result for baby cryi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1336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06FE">
        <w:rPr>
          <w:rFonts w:ascii="Times New Roman" w:hAnsi="Times New Roman" w:cs="Times New Roman"/>
          <w:sz w:val="24"/>
          <w:szCs w:val="24"/>
        </w:rPr>
        <w:t xml:space="preserve">In this case, the other party may use the information to gain more other </w:t>
      </w:r>
      <w:r w:rsidRPr="005F06FE">
        <w:rPr>
          <w:rFonts w:ascii="Times New Roman" w:hAnsi="Times New Roman" w:cs="Times New Roman"/>
          <w:sz w:val="24"/>
          <w:szCs w:val="24"/>
        </w:rPr>
        <w:lastRenderedPageBreak/>
        <w:t>knowledge without the consent of the customer. This type of information surrendering happens in a few cases with an example being in colleges where school staffs may ask a student to provide his or her registration number to trace some errors in their portals and thus they end up viewing the student’s whole data without the consent of the student. In this case, I decided to use to use an icon of a crying baby face to act as a warning to the user that the action was done is not advisable at all. On popping of this icon, the customer will be aware of the danger of the kind of information shared. It will also help people to avoid falling victims of unconditional surrendering of their data.</w:t>
      </w:r>
    </w:p>
    <w:p w:rsidR="005F06FE" w:rsidRPr="005F06FE" w:rsidRDefault="005F06FE" w:rsidP="005F06FE">
      <w:pPr>
        <w:spacing w:line="480" w:lineRule="auto"/>
        <w:jc w:val="center"/>
        <w:rPr>
          <w:rFonts w:ascii="Times New Roman" w:hAnsi="Times New Roman" w:cs="Times New Roman"/>
          <w:b/>
          <w:sz w:val="24"/>
          <w:szCs w:val="24"/>
        </w:rPr>
      </w:pPr>
      <w:r w:rsidRPr="005F06FE">
        <w:rPr>
          <w:rFonts w:ascii="Times New Roman" w:hAnsi="Times New Roman" w:cs="Times New Roman"/>
          <w:b/>
          <w:sz w:val="24"/>
          <w:szCs w:val="24"/>
        </w:rPr>
        <w:t>Conclusion</w:t>
      </w:r>
    </w:p>
    <w:p w:rsidR="001A0B20" w:rsidRPr="004F228E" w:rsidRDefault="005F06FE" w:rsidP="005F06FE">
      <w:pPr>
        <w:spacing w:line="480" w:lineRule="auto"/>
        <w:rPr>
          <w:rFonts w:ascii="Times New Roman" w:hAnsi="Times New Roman" w:cs="Times New Roman"/>
          <w:sz w:val="24"/>
          <w:szCs w:val="24"/>
        </w:rPr>
      </w:pPr>
      <w:r w:rsidRPr="005F06FE">
        <w:rPr>
          <w:rFonts w:ascii="Times New Roman" w:hAnsi="Times New Roman" w:cs="Times New Roman"/>
          <w:sz w:val="24"/>
          <w:szCs w:val="24"/>
        </w:rPr>
        <w:t>With the advancement in technology, there has been an invention of many social media platforms and sites that which require individuals to provide personal details before accessing them. Unless the users pay keen attention to reading the privacy policies in these sites, then their information can be at a danger of going viral to the internet and thus be accessed by whoever wishes. However, though many users fall as victims of information surrendering, applying the use of icons to give the users details of the quadrant where the information shared falls can be of great importance. Such icons portray information at a glance, and people will be in a position to note the risk involved faster.</w:t>
      </w:r>
    </w:p>
    <w:p w:rsidR="000E7011" w:rsidRPr="004F228E" w:rsidRDefault="00545005" w:rsidP="005F06FE">
      <w:pPr>
        <w:spacing w:line="480" w:lineRule="auto"/>
        <w:rPr>
          <w:rFonts w:ascii="Times New Roman" w:hAnsi="Times New Roman" w:cs="Times New Roman"/>
          <w:sz w:val="24"/>
          <w:szCs w:val="24"/>
        </w:rPr>
      </w:pPr>
    </w:p>
    <w:p w:rsidR="005F06FE" w:rsidRDefault="005F06FE" w:rsidP="005F06FE">
      <w:pPr>
        <w:spacing w:line="480" w:lineRule="auto"/>
        <w:rPr>
          <w:rFonts w:ascii="Times New Roman" w:hAnsi="Times New Roman" w:cs="Times New Roman"/>
          <w:sz w:val="24"/>
          <w:szCs w:val="24"/>
        </w:rPr>
      </w:pPr>
    </w:p>
    <w:p w:rsidR="00394311" w:rsidRDefault="00394311" w:rsidP="005F06FE">
      <w:pPr>
        <w:spacing w:line="480" w:lineRule="auto"/>
        <w:rPr>
          <w:rFonts w:ascii="Times New Roman" w:hAnsi="Times New Roman" w:cs="Times New Roman"/>
          <w:sz w:val="24"/>
          <w:szCs w:val="24"/>
        </w:rPr>
      </w:pPr>
    </w:p>
    <w:p w:rsidR="00394311" w:rsidRPr="004F228E" w:rsidRDefault="00394311" w:rsidP="005F06FE">
      <w:pPr>
        <w:spacing w:line="480" w:lineRule="auto"/>
        <w:rPr>
          <w:rFonts w:ascii="Times New Roman" w:hAnsi="Times New Roman" w:cs="Times New Roman"/>
          <w:sz w:val="24"/>
          <w:szCs w:val="24"/>
        </w:rPr>
      </w:pPr>
    </w:p>
    <w:p w:rsidR="003E3F3F" w:rsidRPr="005F06FE" w:rsidRDefault="009B6402" w:rsidP="005F06FE">
      <w:pPr>
        <w:spacing w:line="480" w:lineRule="auto"/>
        <w:jc w:val="center"/>
        <w:rPr>
          <w:rFonts w:ascii="Times New Roman" w:hAnsi="Times New Roman" w:cs="Times New Roman"/>
          <w:b/>
          <w:sz w:val="24"/>
          <w:szCs w:val="24"/>
        </w:rPr>
      </w:pPr>
      <w:r w:rsidRPr="005F06FE">
        <w:rPr>
          <w:rFonts w:ascii="Times New Roman" w:hAnsi="Times New Roman" w:cs="Times New Roman"/>
          <w:b/>
          <w:sz w:val="24"/>
          <w:szCs w:val="24"/>
        </w:rPr>
        <w:lastRenderedPageBreak/>
        <w:t>References</w:t>
      </w:r>
    </w:p>
    <w:p w:rsidR="003E2E70" w:rsidRPr="004F228E" w:rsidRDefault="009B6402" w:rsidP="005F06FE">
      <w:pPr>
        <w:spacing w:line="480" w:lineRule="auto"/>
        <w:ind w:left="720" w:hanging="720"/>
        <w:jc w:val="center"/>
        <w:rPr>
          <w:rFonts w:ascii="Times New Roman" w:hAnsi="Times New Roman" w:cs="Times New Roman"/>
          <w:sz w:val="24"/>
          <w:szCs w:val="24"/>
        </w:rPr>
      </w:pPr>
      <w:r w:rsidRPr="004F228E">
        <w:rPr>
          <w:rFonts w:ascii="Times New Roman" w:hAnsi="Times New Roman" w:cs="Times New Roman"/>
          <w:sz w:val="24"/>
          <w:szCs w:val="24"/>
        </w:rPr>
        <w:t xml:space="preserve">Kahneman, D., &amp; Tversky, A. (2013). Prospect theory: An analysis of decision under risk. In </w:t>
      </w:r>
      <w:r w:rsidRPr="004F228E">
        <w:rPr>
          <w:rFonts w:ascii="Times New Roman" w:hAnsi="Times New Roman" w:cs="Times New Roman"/>
          <w:i/>
          <w:iCs/>
          <w:sz w:val="24"/>
          <w:szCs w:val="24"/>
        </w:rPr>
        <w:t>HANDBOOK OF THE FUNDAMENTALS OF FINANCIAL DECISION MAKING: Part I</w:t>
      </w:r>
      <w:r w:rsidRPr="004F228E">
        <w:rPr>
          <w:rFonts w:ascii="Times New Roman" w:hAnsi="Times New Roman" w:cs="Times New Roman"/>
          <w:sz w:val="24"/>
          <w:szCs w:val="24"/>
        </w:rPr>
        <w:t xml:space="preserve"> (pp. 99-127).</w:t>
      </w:r>
    </w:p>
    <w:p w:rsidR="003E2E70" w:rsidRPr="004F228E" w:rsidRDefault="009B6402" w:rsidP="005F06FE">
      <w:pPr>
        <w:spacing w:line="480" w:lineRule="auto"/>
        <w:ind w:left="720" w:hanging="720"/>
        <w:jc w:val="center"/>
        <w:rPr>
          <w:rStyle w:val="selectable"/>
          <w:rFonts w:ascii="Times New Roman" w:hAnsi="Times New Roman" w:cs="Times New Roman"/>
          <w:sz w:val="24"/>
          <w:szCs w:val="24"/>
        </w:rPr>
      </w:pPr>
      <w:r w:rsidRPr="004F228E">
        <w:rPr>
          <w:rStyle w:val="selectable"/>
          <w:rFonts w:ascii="Times New Roman" w:hAnsi="Times New Roman" w:cs="Times New Roman"/>
          <w:sz w:val="24"/>
          <w:szCs w:val="24"/>
        </w:rPr>
        <w:t xml:space="preserve">Kovacs, G. (2017). </w:t>
      </w:r>
      <w:r w:rsidRPr="004F228E">
        <w:rPr>
          <w:rStyle w:val="selectable"/>
          <w:rFonts w:ascii="Times New Roman" w:hAnsi="Times New Roman" w:cs="Times New Roman"/>
          <w:i/>
          <w:iCs/>
          <w:sz w:val="24"/>
          <w:szCs w:val="24"/>
        </w:rPr>
        <w:t>Tracking our online trackers</w:t>
      </w:r>
      <w:r w:rsidRPr="004F228E">
        <w:rPr>
          <w:rStyle w:val="selectable"/>
          <w:rFonts w:ascii="Times New Roman" w:hAnsi="Times New Roman" w:cs="Times New Roman"/>
          <w:sz w:val="24"/>
          <w:szCs w:val="24"/>
        </w:rPr>
        <w:t xml:space="preserve">. </w:t>
      </w:r>
      <w:r w:rsidRPr="004F228E">
        <w:rPr>
          <w:rStyle w:val="selectable"/>
          <w:rFonts w:ascii="Times New Roman" w:hAnsi="Times New Roman" w:cs="Times New Roman"/>
          <w:i/>
          <w:iCs/>
          <w:sz w:val="24"/>
          <w:szCs w:val="24"/>
        </w:rPr>
        <w:t>Ted.com</w:t>
      </w:r>
      <w:r w:rsidRPr="004F228E">
        <w:rPr>
          <w:rStyle w:val="selectable"/>
          <w:rFonts w:ascii="Times New Roman" w:hAnsi="Times New Roman" w:cs="Times New Roman"/>
          <w:sz w:val="24"/>
          <w:szCs w:val="24"/>
        </w:rPr>
        <w:t xml:space="preserve">. Retrieved 12 December 2017, from </w:t>
      </w:r>
      <w:hyperlink r:id="rId10" w:history="1">
        <w:r w:rsidRPr="004F228E">
          <w:rPr>
            <w:rStyle w:val="Hyperlink"/>
            <w:rFonts w:ascii="Times New Roman" w:hAnsi="Times New Roman" w:cs="Times New Roman"/>
            <w:color w:val="auto"/>
            <w:sz w:val="24"/>
            <w:szCs w:val="24"/>
          </w:rPr>
          <w:t>https://www.ted.com/talks/gary_kovacs_tracking_the_trackers</w:t>
        </w:r>
      </w:hyperlink>
    </w:p>
    <w:p w:rsidR="003E2E70" w:rsidRPr="004F228E" w:rsidRDefault="009B6402" w:rsidP="005F06FE">
      <w:pPr>
        <w:spacing w:line="480" w:lineRule="auto"/>
        <w:ind w:left="720" w:hanging="720"/>
        <w:jc w:val="center"/>
        <w:rPr>
          <w:rFonts w:ascii="Times New Roman" w:hAnsi="Times New Roman" w:cs="Times New Roman"/>
          <w:sz w:val="24"/>
          <w:szCs w:val="24"/>
        </w:rPr>
      </w:pPr>
      <w:r w:rsidRPr="004F228E">
        <w:rPr>
          <w:rFonts w:ascii="Times New Roman" w:hAnsi="Times New Roman" w:cs="Times New Roman"/>
          <w:sz w:val="24"/>
          <w:szCs w:val="24"/>
        </w:rPr>
        <w:t xml:space="preserve">Walker, K. L. (2016). Surrendering information through the looking glass: Transparency, trust, and protection. </w:t>
      </w:r>
      <w:r w:rsidRPr="004F228E">
        <w:rPr>
          <w:rFonts w:ascii="Times New Roman" w:hAnsi="Times New Roman" w:cs="Times New Roman"/>
          <w:i/>
          <w:iCs/>
          <w:sz w:val="24"/>
          <w:szCs w:val="24"/>
        </w:rPr>
        <w:t>Journal of Public Policy &amp; Marketing</w:t>
      </w:r>
      <w:r w:rsidRPr="004F228E">
        <w:rPr>
          <w:rFonts w:ascii="Times New Roman" w:hAnsi="Times New Roman" w:cs="Times New Roman"/>
          <w:sz w:val="24"/>
          <w:szCs w:val="24"/>
        </w:rPr>
        <w:t xml:space="preserve">, </w:t>
      </w:r>
      <w:r w:rsidRPr="004F228E">
        <w:rPr>
          <w:rFonts w:ascii="Times New Roman" w:hAnsi="Times New Roman" w:cs="Times New Roman"/>
          <w:i/>
          <w:iCs/>
          <w:sz w:val="24"/>
          <w:szCs w:val="24"/>
        </w:rPr>
        <w:t>35</w:t>
      </w:r>
      <w:r w:rsidRPr="004F228E">
        <w:rPr>
          <w:rFonts w:ascii="Times New Roman" w:hAnsi="Times New Roman" w:cs="Times New Roman"/>
          <w:sz w:val="24"/>
          <w:szCs w:val="24"/>
        </w:rPr>
        <w:t>(1), 144-158.</w:t>
      </w:r>
      <w:bookmarkEnd w:id="0"/>
    </w:p>
    <w:sectPr w:rsidR="003E2E70" w:rsidRPr="004F228E" w:rsidSect="0091078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A74" w:rsidRDefault="00F32A74">
      <w:pPr>
        <w:spacing w:after="0" w:line="240" w:lineRule="auto"/>
      </w:pPr>
      <w:r>
        <w:separator/>
      </w:r>
    </w:p>
  </w:endnote>
  <w:endnote w:type="continuationSeparator" w:id="0">
    <w:p w:rsidR="00F32A74" w:rsidRDefault="00F3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A74" w:rsidRDefault="00F32A74">
      <w:pPr>
        <w:spacing w:after="0" w:line="240" w:lineRule="auto"/>
      </w:pPr>
      <w:r>
        <w:separator/>
      </w:r>
    </w:p>
  </w:footnote>
  <w:footnote w:type="continuationSeparator" w:id="0">
    <w:p w:rsidR="00F32A74" w:rsidRDefault="00F3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9603514"/>
      <w:docPartObj>
        <w:docPartGallery w:val="Page Numbers (Top of Page)"/>
        <w:docPartUnique/>
      </w:docPartObj>
    </w:sdtPr>
    <w:sdtEndPr>
      <w:rPr>
        <w:noProof/>
      </w:rPr>
    </w:sdtEndPr>
    <w:sdtContent>
      <w:p w:rsidR="00910788" w:rsidRDefault="00910788">
        <w:pPr>
          <w:pStyle w:val="Header"/>
          <w:jc w:val="right"/>
        </w:pPr>
        <w:r>
          <w:fldChar w:fldCharType="begin"/>
        </w:r>
        <w:r>
          <w:instrText xml:space="preserve"> PAGE   \* MERGEFORMAT </w:instrText>
        </w:r>
        <w:r>
          <w:fldChar w:fldCharType="separate"/>
        </w:r>
        <w:r w:rsidR="00545005">
          <w:rPr>
            <w:noProof/>
          </w:rPr>
          <w:t>6</w:t>
        </w:r>
        <w:r>
          <w:rPr>
            <w:noProof/>
          </w:rPr>
          <w:fldChar w:fldCharType="end"/>
        </w:r>
      </w:p>
    </w:sdtContent>
  </w:sdt>
  <w:p w:rsidR="00910788" w:rsidRPr="00910788" w:rsidRDefault="00910788" w:rsidP="00910788">
    <w:pPr>
      <w:spacing w:line="480" w:lineRule="auto"/>
      <w:rPr>
        <w:rFonts w:ascii="Times New Roman" w:hAnsi="Times New Roman" w:cs="Times New Roman"/>
        <w:sz w:val="24"/>
        <w:szCs w:val="24"/>
      </w:rPr>
    </w:pPr>
    <w:r>
      <w:rPr>
        <w:rFonts w:ascii="Times New Roman" w:hAnsi="Times New Roman" w:cs="Times New Roman"/>
        <w:sz w:val="24"/>
        <w:szCs w:val="24"/>
      </w:rPr>
      <w:t>INFORMATION SHARING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788" w:rsidRPr="00910788" w:rsidRDefault="00910788" w:rsidP="00910788">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INFORMATION SHARING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CC1"/>
    <w:rsid w:val="0000502D"/>
    <w:rsid w:val="00061593"/>
    <w:rsid w:val="000F6178"/>
    <w:rsid w:val="0011650F"/>
    <w:rsid w:val="001D4C1C"/>
    <w:rsid w:val="001E0BA5"/>
    <w:rsid w:val="002244E4"/>
    <w:rsid w:val="00234268"/>
    <w:rsid w:val="00253E78"/>
    <w:rsid w:val="00291E2A"/>
    <w:rsid w:val="003355A5"/>
    <w:rsid w:val="00394311"/>
    <w:rsid w:val="003C545A"/>
    <w:rsid w:val="003D1E76"/>
    <w:rsid w:val="00492494"/>
    <w:rsid w:val="004B0448"/>
    <w:rsid w:val="004F228E"/>
    <w:rsid w:val="00512AFF"/>
    <w:rsid w:val="00545005"/>
    <w:rsid w:val="005B59A8"/>
    <w:rsid w:val="005C3370"/>
    <w:rsid w:val="005D4089"/>
    <w:rsid w:val="005F06FE"/>
    <w:rsid w:val="00716483"/>
    <w:rsid w:val="007552F6"/>
    <w:rsid w:val="007F62B4"/>
    <w:rsid w:val="00846F64"/>
    <w:rsid w:val="008A2CB0"/>
    <w:rsid w:val="00910788"/>
    <w:rsid w:val="00951F76"/>
    <w:rsid w:val="009B6402"/>
    <w:rsid w:val="00A24596"/>
    <w:rsid w:val="00B11601"/>
    <w:rsid w:val="00B24274"/>
    <w:rsid w:val="00B246D9"/>
    <w:rsid w:val="00B65E08"/>
    <w:rsid w:val="00B92599"/>
    <w:rsid w:val="00B94CC1"/>
    <w:rsid w:val="00D17437"/>
    <w:rsid w:val="00D32E35"/>
    <w:rsid w:val="00D90FA0"/>
    <w:rsid w:val="00D977B4"/>
    <w:rsid w:val="00E12B41"/>
    <w:rsid w:val="00E2398D"/>
    <w:rsid w:val="00E47074"/>
    <w:rsid w:val="00F32A74"/>
    <w:rsid w:val="00F83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F7179-8154-4518-AFEF-58225ECB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21A"/>
  </w:style>
  <w:style w:type="paragraph" w:styleId="Footer">
    <w:name w:val="footer"/>
    <w:basedOn w:val="Normal"/>
    <w:link w:val="FooterChar"/>
    <w:uiPriority w:val="99"/>
    <w:unhideWhenUsed/>
    <w:rsid w:val="00EF7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21A"/>
  </w:style>
  <w:style w:type="character" w:customStyle="1" w:styleId="selectable">
    <w:name w:val="selectable"/>
    <w:basedOn w:val="DefaultParagraphFont"/>
    <w:rsid w:val="000E7011"/>
  </w:style>
  <w:style w:type="character" w:styleId="Hyperlink">
    <w:name w:val="Hyperlink"/>
    <w:basedOn w:val="DefaultParagraphFont"/>
    <w:uiPriority w:val="99"/>
    <w:unhideWhenUsed/>
    <w:rsid w:val="000E7011"/>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ted.com/talks/gary_kovacs_tracking_the_trackers"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7</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ken musau</cp:lastModifiedBy>
  <cp:revision>45</cp:revision>
  <dcterms:created xsi:type="dcterms:W3CDTF">2017-12-12T08:00:00Z</dcterms:created>
  <dcterms:modified xsi:type="dcterms:W3CDTF">2017-12-12T16:32:00Z</dcterms:modified>
</cp:coreProperties>
</file>